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1483" w14:textId="77777777" w:rsidR="004F459D" w:rsidRPr="002B1801" w:rsidRDefault="004F459D" w:rsidP="004F459D">
      <w:r w:rsidRPr="002B1801">
        <w:rPr>
          <w:noProof/>
        </w:rPr>
        <w:drawing>
          <wp:inline distT="0" distB="0" distL="0" distR="0" wp14:anchorId="1351EB2F" wp14:editId="48B81D40">
            <wp:extent cx="5613052" cy="571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3397" cy="592916"/>
                    </a:xfrm>
                    <a:prstGeom prst="rect">
                      <a:avLst/>
                    </a:prstGeom>
                  </pic:spPr>
                </pic:pic>
              </a:graphicData>
            </a:graphic>
          </wp:inline>
        </w:drawing>
      </w:r>
    </w:p>
    <w:p w14:paraId="11C2D503" w14:textId="77777777" w:rsidR="004F459D" w:rsidRPr="002B1801" w:rsidRDefault="004F459D" w:rsidP="004F459D"/>
    <w:p w14:paraId="7A728B62" w14:textId="77777777" w:rsidR="004F459D" w:rsidRPr="002B1801" w:rsidRDefault="004F459D" w:rsidP="004F459D"/>
    <w:p w14:paraId="175A30C1" w14:textId="77777777" w:rsidR="004F459D" w:rsidRPr="004F459D" w:rsidRDefault="004F459D" w:rsidP="004F459D">
      <w:pPr>
        <w:shd w:val="clear" w:color="auto" w:fill="FFFFFF"/>
        <w:spacing w:before="100" w:beforeAutospacing="1" w:after="100" w:afterAutospacing="1"/>
        <w:ind w:left="-270"/>
        <w:rPr>
          <w:rFonts w:eastAsia="Times New Roman" w:cs="Times New Roman"/>
          <w:color w:val="222222"/>
          <w:sz w:val="22"/>
          <w:szCs w:val="22"/>
        </w:rPr>
      </w:pPr>
      <w:r w:rsidRPr="00E7683A">
        <w:rPr>
          <w:rFonts w:eastAsia="Times New Roman" w:cs="Times New Roman"/>
          <w:color w:val="222222"/>
          <w:sz w:val="22"/>
          <w:szCs w:val="22"/>
        </w:rPr>
        <w:t>The Virginia Section of the American College of Prosthodontists would like to invite you to our upcoming webinar</w:t>
      </w:r>
      <w:r>
        <w:rPr>
          <w:rFonts w:eastAsia="Times New Roman" w:cs="Times New Roman"/>
          <w:color w:val="222222"/>
          <w:sz w:val="22"/>
          <w:szCs w:val="22"/>
        </w:rPr>
        <w:t xml:space="preserve"> “Introduction to the Temporomandibular Joint: Screening and Treatment </w:t>
      </w:r>
      <w:r w:rsidRPr="004F459D">
        <w:rPr>
          <w:rFonts w:eastAsia="Times New Roman" w:cs="Times New Roman"/>
          <w:color w:val="222222"/>
          <w:sz w:val="22"/>
          <w:szCs w:val="22"/>
        </w:rPr>
        <w:t xml:space="preserve">Options ” presented by Nelson Min on March 24 2022 from 6:30-8:30 pm. </w:t>
      </w:r>
    </w:p>
    <w:p w14:paraId="7A0D2338" w14:textId="77777777" w:rsidR="004F459D" w:rsidRPr="004F459D" w:rsidRDefault="004F459D" w:rsidP="004F459D">
      <w:pPr>
        <w:shd w:val="clear" w:color="auto" w:fill="FFFFFF"/>
        <w:spacing w:before="100" w:beforeAutospacing="1" w:after="100" w:afterAutospacing="1"/>
        <w:ind w:left="-270"/>
        <w:rPr>
          <w:rFonts w:eastAsia="Times New Roman" w:cs="Times New Roman"/>
          <w:color w:val="222222"/>
          <w:sz w:val="22"/>
          <w:szCs w:val="22"/>
        </w:rPr>
      </w:pPr>
      <w:r w:rsidRPr="004F459D">
        <w:rPr>
          <w:noProof/>
          <w:sz w:val="22"/>
          <w:szCs w:val="22"/>
        </w:rPr>
        <w:drawing>
          <wp:anchor distT="0" distB="0" distL="114300" distR="114300" simplePos="0" relativeHeight="251658240" behindDoc="0" locked="0" layoutInCell="1" allowOverlap="1" wp14:anchorId="5A46FC69" wp14:editId="704E3204">
            <wp:simplePos x="0" y="0"/>
            <wp:positionH relativeFrom="margin">
              <wp:posOffset>-114300</wp:posOffset>
            </wp:positionH>
            <wp:positionV relativeFrom="margin">
              <wp:posOffset>1830705</wp:posOffset>
            </wp:positionV>
            <wp:extent cx="800100" cy="800100"/>
            <wp:effectExtent l="0" t="0" r="12700" b="12700"/>
            <wp:wrapSquare wrapText="bothSides"/>
            <wp:docPr id="3" name="Picture 3" descr="Macintosh HD:Users:natpowell:Desktop:ACP VA Chapter Documents:March 2022 Flyer:Unknown[8][82][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powell:Desktop:ACP VA Chapter Documents:March 2022 Flyer:Unknown[8][82][4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459D">
        <w:rPr>
          <w:noProof/>
          <w:sz w:val="22"/>
          <w:szCs w:val="22"/>
        </w:rPr>
        <w:t xml:space="preserve">Mr. Min received his Master of Science in Physical Therapy from the University of Miami and is a board certified clinical specialist in orthopaedic physical therapy.  He is an advanced functional dry needling specialist and has taught courses and presented nationwide on clinical integration of physical therapy.  He has been practicing as a physical therapist since 2003 and owns Bodies in Motion Physical Therapy in Reston, VA. </w:t>
      </w:r>
      <w:r w:rsidRPr="004F459D">
        <w:rPr>
          <w:sz w:val="22"/>
          <w:szCs w:val="22"/>
        </w:rPr>
        <w:t>He has been lecturing on the treatment of the TMJ since 2016 and is currently a Specialty Course Faculty Instructor for Aspire OMT developing course content for various topics including dry needling for TMJ disorders.</w:t>
      </w:r>
    </w:p>
    <w:p w14:paraId="650D03A4" w14:textId="77777777" w:rsidR="004F459D" w:rsidRPr="004F459D" w:rsidRDefault="004F459D" w:rsidP="004F459D">
      <w:pPr>
        <w:shd w:val="clear" w:color="auto" w:fill="FFFFFF"/>
        <w:spacing w:before="100" w:beforeAutospacing="1" w:after="100" w:afterAutospacing="1"/>
        <w:ind w:left="-270"/>
        <w:rPr>
          <w:rFonts w:eastAsia="Times New Roman" w:cs="Times New Roman"/>
          <w:color w:val="222222"/>
          <w:sz w:val="22"/>
          <w:szCs w:val="22"/>
        </w:rPr>
      </w:pPr>
      <w:r w:rsidRPr="004F459D">
        <w:rPr>
          <w:rFonts w:eastAsia="Times New Roman" w:cs="Times New Roman"/>
          <w:color w:val="222222"/>
          <w:sz w:val="22"/>
          <w:szCs w:val="22"/>
        </w:rPr>
        <w:t xml:space="preserve">Mr. Min will </w:t>
      </w:r>
      <w:r w:rsidRPr="004F459D">
        <w:rPr>
          <w:sz w:val="22"/>
          <w:szCs w:val="22"/>
        </w:rPr>
        <w:t xml:space="preserve">cover the anatomy, neurology, biomechanics, pathology and treatment for temporomandibular joint disorders at an introductory level.  It will include illustrations of the muscular, bony and nervous anatomy of the jaw, face and neck.  It will also include videos of live patients and cadavers to show the motions of the TMJ and the articular disc.  Treatment techniques for the jaw will also be shown including the use of dry needling. </w:t>
      </w:r>
    </w:p>
    <w:p w14:paraId="3F51A4C9" w14:textId="77777777" w:rsidR="004F459D" w:rsidRPr="004F459D" w:rsidRDefault="004F459D" w:rsidP="004F459D">
      <w:pPr>
        <w:shd w:val="clear" w:color="auto" w:fill="FFFFFF"/>
        <w:spacing w:before="100" w:beforeAutospacing="1" w:after="100" w:afterAutospacing="1"/>
        <w:ind w:hanging="270"/>
        <w:rPr>
          <w:noProof/>
          <w:color w:val="000000" w:themeColor="text1"/>
          <w:sz w:val="22"/>
          <w:szCs w:val="22"/>
        </w:rPr>
      </w:pPr>
      <w:r w:rsidRPr="004F459D">
        <w:rPr>
          <w:noProof/>
          <w:color w:val="000000" w:themeColor="text1"/>
          <w:sz w:val="22"/>
          <w:szCs w:val="22"/>
        </w:rPr>
        <w:t>Educational Objectives</w:t>
      </w:r>
    </w:p>
    <w:p w14:paraId="3A2B96AD" w14:textId="77777777" w:rsidR="004F459D" w:rsidRPr="004F459D" w:rsidRDefault="004F459D" w:rsidP="004F459D">
      <w:pPr>
        <w:pStyle w:val="ListParagraph"/>
        <w:numPr>
          <w:ilvl w:val="0"/>
          <w:numId w:val="3"/>
        </w:numPr>
        <w:rPr>
          <w:sz w:val="22"/>
          <w:szCs w:val="22"/>
        </w:rPr>
      </w:pPr>
      <w:r w:rsidRPr="004F459D">
        <w:rPr>
          <w:sz w:val="22"/>
          <w:szCs w:val="22"/>
        </w:rPr>
        <w:t>Describe the muscular anatomy of the jaw</w:t>
      </w:r>
    </w:p>
    <w:p w14:paraId="354034A7" w14:textId="77777777" w:rsidR="004F459D" w:rsidRPr="004F459D" w:rsidRDefault="004F459D" w:rsidP="004F459D">
      <w:pPr>
        <w:pStyle w:val="ListParagraph"/>
        <w:numPr>
          <w:ilvl w:val="0"/>
          <w:numId w:val="3"/>
        </w:numPr>
        <w:rPr>
          <w:sz w:val="22"/>
          <w:szCs w:val="22"/>
        </w:rPr>
      </w:pPr>
      <w:r w:rsidRPr="004F459D">
        <w:rPr>
          <w:sz w:val="22"/>
          <w:szCs w:val="22"/>
        </w:rPr>
        <w:t>Describe the motions available for the jaw</w:t>
      </w:r>
    </w:p>
    <w:p w14:paraId="7B30C148" w14:textId="77777777" w:rsidR="004F459D" w:rsidRPr="004F459D" w:rsidRDefault="004F459D" w:rsidP="004F459D">
      <w:pPr>
        <w:pStyle w:val="ListParagraph"/>
        <w:numPr>
          <w:ilvl w:val="0"/>
          <w:numId w:val="3"/>
        </w:numPr>
        <w:rPr>
          <w:sz w:val="22"/>
          <w:szCs w:val="22"/>
        </w:rPr>
      </w:pPr>
      <w:r w:rsidRPr="004F459D">
        <w:rPr>
          <w:sz w:val="22"/>
          <w:szCs w:val="22"/>
        </w:rPr>
        <w:t>Be able to describe a joint restriction vs a muscular restriction</w:t>
      </w:r>
    </w:p>
    <w:p w14:paraId="1873E676" w14:textId="77777777" w:rsidR="004F459D" w:rsidRPr="004F459D" w:rsidRDefault="004F459D" w:rsidP="004F459D">
      <w:pPr>
        <w:pStyle w:val="ListParagraph"/>
        <w:numPr>
          <w:ilvl w:val="0"/>
          <w:numId w:val="3"/>
        </w:numPr>
        <w:rPr>
          <w:sz w:val="22"/>
          <w:szCs w:val="22"/>
        </w:rPr>
      </w:pPr>
      <w:r w:rsidRPr="004F459D">
        <w:rPr>
          <w:sz w:val="22"/>
          <w:szCs w:val="22"/>
        </w:rPr>
        <w:t>Be able to use a simple motion screen to differentiate a joint restriction or muscular restriction for the TMJ</w:t>
      </w:r>
    </w:p>
    <w:p w14:paraId="315D07B9" w14:textId="77777777" w:rsidR="004F459D" w:rsidRPr="004F459D" w:rsidRDefault="004F459D" w:rsidP="004F459D">
      <w:pPr>
        <w:pStyle w:val="ListParagraph"/>
        <w:numPr>
          <w:ilvl w:val="0"/>
          <w:numId w:val="3"/>
        </w:numPr>
        <w:rPr>
          <w:sz w:val="22"/>
          <w:szCs w:val="22"/>
        </w:rPr>
      </w:pPr>
      <w:r w:rsidRPr="004F459D">
        <w:rPr>
          <w:sz w:val="22"/>
          <w:szCs w:val="22"/>
        </w:rPr>
        <w:t xml:space="preserve">Be able to describe the contributors to TMJ pain and dysfunction </w:t>
      </w:r>
    </w:p>
    <w:p w14:paraId="58FE094A" w14:textId="77777777" w:rsidR="004F459D" w:rsidRPr="004F459D" w:rsidRDefault="004F459D" w:rsidP="004F459D">
      <w:pPr>
        <w:pStyle w:val="ListParagraph"/>
        <w:numPr>
          <w:ilvl w:val="0"/>
          <w:numId w:val="3"/>
        </w:numPr>
        <w:rPr>
          <w:sz w:val="22"/>
          <w:szCs w:val="22"/>
        </w:rPr>
      </w:pPr>
      <w:r w:rsidRPr="004F459D">
        <w:rPr>
          <w:sz w:val="22"/>
          <w:szCs w:val="22"/>
        </w:rPr>
        <w:t xml:space="preserve">Be able to describe the treatment options for TMJ dysfunction </w:t>
      </w:r>
    </w:p>
    <w:p w14:paraId="24B747DB" w14:textId="77777777" w:rsidR="004F459D" w:rsidRDefault="004F459D" w:rsidP="004F459D">
      <w:pPr>
        <w:shd w:val="clear" w:color="auto" w:fill="FFFFFF"/>
        <w:spacing w:before="100" w:beforeAutospacing="1" w:after="100" w:afterAutospacing="1"/>
        <w:rPr>
          <w:noProof/>
          <w:color w:val="000000" w:themeColor="text1"/>
          <w:sz w:val="22"/>
          <w:szCs w:val="22"/>
        </w:rPr>
      </w:pPr>
      <w:r w:rsidRPr="004F459D">
        <w:rPr>
          <w:noProof/>
          <w:color w:val="000000" w:themeColor="text1"/>
          <w:sz w:val="22"/>
          <w:szCs w:val="22"/>
        </w:rPr>
        <w:t xml:space="preserve">We hope you will join us for this educational virtual lecture </w:t>
      </w:r>
      <w:r>
        <w:rPr>
          <w:noProof/>
          <w:color w:val="000000" w:themeColor="text1"/>
          <w:sz w:val="22"/>
          <w:szCs w:val="22"/>
        </w:rPr>
        <w:t>in March</w:t>
      </w:r>
      <w:r w:rsidRPr="004042B4">
        <w:rPr>
          <w:noProof/>
          <w:color w:val="000000" w:themeColor="text1"/>
          <w:sz w:val="22"/>
          <w:szCs w:val="22"/>
        </w:rPr>
        <w:t>!</w:t>
      </w:r>
    </w:p>
    <w:p w14:paraId="264C6C95" w14:textId="77777777" w:rsidR="004F459D" w:rsidRPr="004042B4" w:rsidRDefault="004F459D" w:rsidP="004F459D">
      <w:pPr>
        <w:shd w:val="clear" w:color="auto" w:fill="FFFFFF"/>
        <w:spacing w:before="100" w:beforeAutospacing="1" w:after="100" w:afterAutospacing="1"/>
        <w:rPr>
          <w:noProof/>
          <w:color w:val="000000" w:themeColor="text1"/>
          <w:sz w:val="22"/>
          <w:szCs w:val="22"/>
        </w:rPr>
      </w:pPr>
      <w:r w:rsidRPr="004042B4">
        <w:rPr>
          <w:noProof/>
          <w:color w:val="000000" w:themeColor="text1"/>
          <w:sz w:val="22"/>
          <w:szCs w:val="22"/>
        </w:rPr>
        <w:t>Sincerely,</w:t>
      </w:r>
    </w:p>
    <w:p w14:paraId="5CEE69AB" w14:textId="77777777" w:rsidR="004F459D" w:rsidRPr="004042B4" w:rsidRDefault="004F459D" w:rsidP="004F459D">
      <w:pPr>
        <w:shd w:val="clear" w:color="auto" w:fill="FFFFFF"/>
        <w:spacing w:before="100" w:beforeAutospacing="1" w:after="100" w:afterAutospacing="1"/>
        <w:contextualSpacing/>
        <w:rPr>
          <w:i/>
          <w:noProof/>
          <w:color w:val="000000" w:themeColor="text1"/>
          <w:sz w:val="22"/>
          <w:szCs w:val="22"/>
        </w:rPr>
      </w:pPr>
      <w:r w:rsidRPr="004042B4">
        <w:rPr>
          <w:i/>
          <w:noProof/>
          <w:color w:val="000000" w:themeColor="text1"/>
          <w:sz w:val="22"/>
          <w:szCs w:val="22"/>
        </w:rPr>
        <w:t xml:space="preserve">Charlson Choi </w:t>
      </w:r>
    </w:p>
    <w:p w14:paraId="4158A148" w14:textId="77777777" w:rsidR="004F459D" w:rsidRPr="004042B4" w:rsidRDefault="004F459D" w:rsidP="004F459D">
      <w:pPr>
        <w:shd w:val="clear" w:color="auto" w:fill="FFFFFF"/>
        <w:spacing w:before="100" w:beforeAutospacing="1" w:after="100" w:afterAutospacing="1"/>
        <w:contextualSpacing/>
        <w:rPr>
          <w:i/>
          <w:noProof/>
          <w:color w:val="000000" w:themeColor="text1"/>
          <w:sz w:val="22"/>
          <w:szCs w:val="22"/>
        </w:rPr>
      </w:pPr>
      <w:r w:rsidRPr="004042B4">
        <w:rPr>
          <w:i/>
          <w:noProof/>
          <w:color w:val="000000" w:themeColor="text1"/>
          <w:sz w:val="22"/>
          <w:szCs w:val="22"/>
        </w:rPr>
        <w:t>Pandora Wojnarwsky</w:t>
      </w:r>
    </w:p>
    <w:p w14:paraId="00303109" w14:textId="77777777" w:rsidR="004F459D" w:rsidRPr="004042B4" w:rsidRDefault="004F459D" w:rsidP="004F459D">
      <w:pPr>
        <w:shd w:val="clear" w:color="auto" w:fill="FFFFFF"/>
        <w:spacing w:before="100" w:beforeAutospacing="1" w:after="100" w:afterAutospacing="1"/>
        <w:contextualSpacing/>
        <w:rPr>
          <w:i/>
          <w:noProof/>
          <w:color w:val="000000" w:themeColor="text1"/>
          <w:sz w:val="22"/>
          <w:szCs w:val="22"/>
        </w:rPr>
      </w:pPr>
      <w:r>
        <w:rPr>
          <w:i/>
          <w:noProof/>
          <w:color w:val="000000" w:themeColor="text1"/>
          <w:sz w:val="22"/>
          <w:szCs w:val="22"/>
        </w:rPr>
        <w:t>Ur</w:t>
      </w:r>
      <w:r w:rsidRPr="004042B4">
        <w:rPr>
          <w:i/>
          <w:noProof/>
          <w:color w:val="000000" w:themeColor="text1"/>
          <w:sz w:val="22"/>
          <w:szCs w:val="22"/>
        </w:rPr>
        <w:t>sula Klostermyer</w:t>
      </w:r>
    </w:p>
    <w:p w14:paraId="53D5CCA2" w14:textId="77777777" w:rsidR="004F459D" w:rsidRPr="004042B4" w:rsidRDefault="004F459D" w:rsidP="004F459D">
      <w:pPr>
        <w:shd w:val="clear" w:color="auto" w:fill="FFFFFF"/>
        <w:spacing w:before="100" w:beforeAutospacing="1" w:after="100" w:afterAutospacing="1"/>
        <w:contextualSpacing/>
        <w:rPr>
          <w:i/>
          <w:noProof/>
          <w:color w:val="000000" w:themeColor="text1"/>
          <w:sz w:val="22"/>
          <w:szCs w:val="22"/>
        </w:rPr>
      </w:pPr>
      <w:r w:rsidRPr="004042B4">
        <w:rPr>
          <w:i/>
          <w:noProof/>
          <w:color w:val="000000" w:themeColor="text1"/>
          <w:sz w:val="22"/>
          <w:szCs w:val="22"/>
        </w:rPr>
        <w:t>Natalie Powell</w:t>
      </w:r>
    </w:p>
    <w:p w14:paraId="4C183CB1" w14:textId="77777777" w:rsidR="004F459D" w:rsidRPr="00E7683A" w:rsidRDefault="004F459D" w:rsidP="004F459D">
      <w:pPr>
        <w:shd w:val="clear" w:color="auto" w:fill="FFFFFF"/>
        <w:spacing w:before="100" w:beforeAutospacing="1" w:after="100" w:afterAutospacing="1"/>
        <w:rPr>
          <w:noProof/>
          <w:color w:val="000000" w:themeColor="text1"/>
          <w:sz w:val="20"/>
          <w:szCs w:val="20"/>
        </w:rPr>
      </w:pPr>
    </w:p>
    <w:p w14:paraId="58DD325C" w14:textId="77777777" w:rsidR="004F459D" w:rsidRPr="00E7683A" w:rsidRDefault="004F459D" w:rsidP="004F459D">
      <w:pPr>
        <w:shd w:val="clear" w:color="auto" w:fill="FFFFFF"/>
        <w:spacing w:before="100" w:beforeAutospacing="1" w:after="100" w:afterAutospacing="1"/>
        <w:rPr>
          <w:noProof/>
          <w:color w:val="000000" w:themeColor="text1"/>
          <w:sz w:val="20"/>
          <w:szCs w:val="20"/>
        </w:rPr>
      </w:pPr>
      <w:r w:rsidRPr="007E67DB">
        <w:rPr>
          <w:b/>
          <w:noProof/>
          <w:color w:val="000000" w:themeColor="text1"/>
          <w:sz w:val="20"/>
          <w:szCs w:val="20"/>
        </w:rPr>
        <w:lastRenderedPageBreak/>
        <w:t>This Continuing Education will be free to current ACP-VA members</w:t>
      </w:r>
      <w:r w:rsidRPr="00E7683A">
        <w:rPr>
          <w:noProof/>
          <w:color w:val="000000" w:themeColor="text1"/>
          <w:sz w:val="20"/>
          <w:szCs w:val="20"/>
        </w:rPr>
        <w:t xml:space="preserve">. There will be a </w:t>
      </w:r>
      <w:r w:rsidRPr="00501DDE">
        <w:rPr>
          <w:b/>
          <w:noProof/>
          <w:color w:val="000000" w:themeColor="text1"/>
          <w:sz w:val="20"/>
          <w:szCs w:val="20"/>
        </w:rPr>
        <w:t>non-refundable $50 fee for non-members.</w:t>
      </w:r>
      <w:r w:rsidRPr="00E7683A">
        <w:rPr>
          <w:noProof/>
          <w:color w:val="000000" w:themeColor="text1"/>
          <w:sz w:val="20"/>
          <w:szCs w:val="20"/>
        </w:rPr>
        <w:t xml:space="preserve">  There is no commerical support for this webinar and no confilicts of interest to disclose. </w:t>
      </w:r>
    </w:p>
    <w:p w14:paraId="38E1C804" w14:textId="77777777" w:rsidR="004F459D" w:rsidRPr="00E7683A" w:rsidRDefault="004F459D" w:rsidP="004F459D">
      <w:pPr>
        <w:shd w:val="clear" w:color="auto" w:fill="FFFFFF"/>
        <w:spacing w:before="100" w:beforeAutospacing="1" w:after="100" w:afterAutospacing="1"/>
        <w:rPr>
          <w:rFonts w:eastAsia="Times New Roman" w:cs="Times New Roman"/>
          <w:color w:val="222222"/>
          <w:sz w:val="20"/>
          <w:szCs w:val="20"/>
        </w:rPr>
      </w:pPr>
      <w:r w:rsidRPr="00E7683A">
        <w:rPr>
          <w:rFonts w:eastAsia="Times New Roman" w:cs="Times New Roman"/>
          <w:color w:val="222222"/>
          <w:sz w:val="20"/>
          <w:szCs w:val="20"/>
        </w:rPr>
        <w:t xml:space="preserve">This continuing education activity has been planned and implemented in accordance with the standards of the ADA Continuing Education Recognition Program (ADA CERP) through joint efforts between The American College of Prosthodontists and Virginia Chapter of the American College of Prosthodontists and will be awarded 2.0 CE credits upon completion. </w:t>
      </w:r>
    </w:p>
    <w:p w14:paraId="48C31E10" w14:textId="77777777" w:rsidR="004F459D" w:rsidRPr="00501DDE" w:rsidRDefault="004F459D" w:rsidP="004F459D">
      <w:pPr>
        <w:rPr>
          <w:b/>
        </w:rPr>
      </w:pPr>
      <w:r w:rsidRPr="00501DDE">
        <w:rPr>
          <w:b/>
        </w:rPr>
        <w:t>Participant Information</w:t>
      </w:r>
    </w:p>
    <w:p w14:paraId="645FD076" w14:textId="77777777" w:rsidR="004F459D" w:rsidRDefault="004F459D" w:rsidP="004F459D"/>
    <w:p w14:paraId="4ACD2598" w14:textId="77777777" w:rsidR="004F459D" w:rsidRPr="00074677" w:rsidRDefault="004F459D" w:rsidP="004F459D">
      <w:pPr>
        <w:rPr>
          <w:rFonts w:eastAsia="Times New Roman" w:cs="Arial"/>
          <w:color w:val="000000" w:themeColor="text1"/>
        </w:rPr>
      </w:pPr>
      <w:r w:rsidRPr="00074677">
        <w:rPr>
          <w:rFonts w:eastAsia="Times New Roman" w:cs="Arial"/>
          <w:color w:val="000000" w:themeColor="text1"/>
        </w:rPr>
        <w:t xml:space="preserve">This event qualifies for 2 hours of CE from the ADA/CERP program through the American College of Prosthodontics. We sincerely hope you can join us there! </w:t>
      </w:r>
    </w:p>
    <w:p w14:paraId="3B28132F" w14:textId="77777777" w:rsidR="004F459D" w:rsidRPr="00074677" w:rsidRDefault="004F459D" w:rsidP="004F459D">
      <w:pPr>
        <w:rPr>
          <w:rFonts w:eastAsia="Times New Roman" w:cs="Arial"/>
          <w:color w:val="000000" w:themeColor="text1"/>
        </w:rPr>
      </w:pPr>
      <w:r w:rsidRPr="00074677">
        <w:rPr>
          <w:rFonts w:eastAsia="Times New Roman" w:cs="Times New Roman"/>
          <w:color w:val="000000" w:themeColor="text1"/>
        </w:rPr>
        <w:br/>
      </w:r>
      <w:r w:rsidRPr="00074677">
        <w:rPr>
          <w:rFonts w:eastAsia="Times New Roman" w:cs="Arial"/>
          <w:color w:val="000000" w:themeColor="text1"/>
        </w:rPr>
        <w:t xml:space="preserve">Name______________________________________________________DDS/DMD </w:t>
      </w:r>
    </w:p>
    <w:p w14:paraId="0B74B92F" w14:textId="77777777" w:rsidR="004F459D" w:rsidRPr="00074677" w:rsidRDefault="004F459D" w:rsidP="004F459D">
      <w:pPr>
        <w:rPr>
          <w:rFonts w:eastAsia="Times New Roman" w:cs="Arial"/>
          <w:color w:val="000000" w:themeColor="text1"/>
        </w:rPr>
      </w:pPr>
    </w:p>
    <w:p w14:paraId="17F10204" w14:textId="77777777" w:rsidR="004F459D" w:rsidRPr="00074677" w:rsidRDefault="004F459D" w:rsidP="004F459D">
      <w:pPr>
        <w:rPr>
          <w:rFonts w:eastAsia="Times New Roman" w:cs="Arial"/>
          <w:color w:val="000000" w:themeColor="text1"/>
        </w:rPr>
      </w:pPr>
      <w:r w:rsidRPr="00074677">
        <w:rPr>
          <w:rFonts w:eastAsia="Times New Roman" w:cs="Arial"/>
          <w:color w:val="000000" w:themeColor="text1"/>
        </w:rPr>
        <w:t xml:space="preserve">From______________________________________________________(PRACTICE, CITY, STATE) </w:t>
      </w:r>
    </w:p>
    <w:p w14:paraId="13E700F0" w14:textId="77777777" w:rsidR="004F459D" w:rsidRPr="00074677" w:rsidRDefault="004F459D" w:rsidP="004F459D">
      <w:pPr>
        <w:rPr>
          <w:rFonts w:eastAsia="Times New Roman" w:cs="Arial"/>
          <w:color w:val="000000" w:themeColor="text1"/>
        </w:rPr>
      </w:pPr>
      <w:r w:rsidRPr="00074677">
        <w:rPr>
          <w:rFonts w:eastAsia="Times New Roman" w:cs="Times New Roman"/>
          <w:color w:val="000000" w:themeColor="text1"/>
        </w:rPr>
        <w:br/>
      </w:r>
      <w:r w:rsidRPr="00074677">
        <w:rPr>
          <w:rFonts w:eastAsia="Times New Roman" w:cs="Arial"/>
          <w:color w:val="000000" w:themeColor="text1"/>
        </w:rPr>
        <w:t xml:space="preserve">E-mail___________________________________________________   Phone__________________________ </w:t>
      </w:r>
    </w:p>
    <w:p w14:paraId="201BB47B" w14:textId="77777777" w:rsidR="004F459D" w:rsidRPr="00074677" w:rsidRDefault="004F459D" w:rsidP="004F459D">
      <w:pPr>
        <w:rPr>
          <w:rFonts w:eastAsia="Times New Roman" w:cs="Arial"/>
          <w:color w:val="000000" w:themeColor="text1"/>
        </w:rPr>
      </w:pPr>
      <w:r w:rsidRPr="00074677">
        <w:rPr>
          <w:rFonts w:eastAsia="Times New Roman" w:cs="Times New Roman"/>
          <w:color w:val="000000" w:themeColor="text1"/>
        </w:rPr>
        <w:br/>
      </w:r>
      <w:r w:rsidRPr="00074677">
        <w:rPr>
          <w:rFonts w:eastAsia="Times New Roman" w:cs="Arial"/>
          <w:color w:val="000000" w:themeColor="text1"/>
        </w:rPr>
        <w:t xml:space="preserve">Please Circle One: </w:t>
      </w:r>
    </w:p>
    <w:p w14:paraId="61E79C7C" w14:textId="77777777" w:rsidR="004F459D" w:rsidRPr="00074677" w:rsidRDefault="004F459D" w:rsidP="004F459D">
      <w:pPr>
        <w:pStyle w:val="ListParagraph"/>
        <w:numPr>
          <w:ilvl w:val="1"/>
          <w:numId w:val="2"/>
        </w:numPr>
        <w:rPr>
          <w:rFonts w:eastAsia="Times New Roman" w:cs="Times New Roman"/>
          <w:color w:val="000000" w:themeColor="text1"/>
        </w:rPr>
      </w:pPr>
      <w:r w:rsidRPr="00074677">
        <w:rPr>
          <w:rFonts w:eastAsia="Times New Roman" w:cs="Arial"/>
          <w:color w:val="000000" w:themeColor="text1"/>
        </w:rPr>
        <w:t xml:space="preserve">VA ACP Member . . . N/C. </w:t>
      </w:r>
    </w:p>
    <w:p w14:paraId="0D6B3E08" w14:textId="77777777" w:rsidR="004F459D" w:rsidRPr="00074677" w:rsidRDefault="004F459D" w:rsidP="004F459D">
      <w:pPr>
        <w:pStyle w:val="ListParagraph"/>
        <w:numPr>
          <w:ilvl w:val="1"/>
          <w:numId w:val="2"/>
        </w:numPr>
        <w:rPr>
          <w:rFonts w:eastAsia="Times New Roman" w:cs="Times New Roman"/>
          <w:color w:val="000000" w:themeColor="text1"/>
        </w:rPr>
      </w:pPr>
      <w:r w:rsidRPr="00074677">
        <w:rPr>
          <w:rFonts w:eastAsia="Times New Roman" w:cs="Arial"/>
          <w:color w:val="000000" w:themeColor="text1"/>
        </w:rPr>
        <w:t xml:space="preserve">Non-VA ACP Member . . . $50. </w:t>
      </w:r>
    </w:p>
    <w:p w14:paraId="66376B7B" w14:textId="77777777" w:rsidR="004F459D" w:rsidRPr="00074677" w:rsidRDefault="004F459D" w:rsidP="004F459D">
      <w:pPr>
        <w:pStyle w:val="ListParagraph"/>
        <w:numPr>
          <w:ilvl w:val="1"/>
          <w:numId w:val="2"/>
        </w:numPr>
        <w:rPr>
          <w:rFonts w:eastAsia="Times New Roman" w:cs="Times New Roman"/>
          <w:color w:val="000000" w:themeColor="text1"/>
        </w:rPr>
      </w:pPr>
      <w:r w:rsidRPr="00074677">
        <w:rPr>
          <w:rFonts w:eastAsia="Times New Roman" w:cs="Arial"/>
          <w:color w:val="000000" w:themeColor="text1"/>
        </w:rPr>
        <w:t>Student/resident . . . N/C</w:t>
      </w:r>
    </w:p>
    <w:p w14:paraId="77233ED3" w14:textId="77777777" w:rsidR="004F459D" w:rsidRPr="00074677" w:rsidRDefault="004F459D" w:rsidP="004F459D">
      <w:pPr>
        <w:rPr>
          <w:rFonts w:eastAsia="Times New Roman" w:cs="Arial"/>
          <w:color w:val="000000" w:themeColor="text1"/>
        </w:rPr>
      </w:pPr>
      <w:r w:rsidRPr="00074677">
        <w:rPr>
          <w:rFonts w:eastAsia="Times New Roman" w:cs="Times New Roman"/>
          <w:color w:val="000000" w:themeColor="text1"/>
        </w:rPr>
        <w:br/>
      </w:r>
      <w:r w:rsidRPr="00074677">
        <w:rPr>
          <w:rFonts w:eastAsia="Times New Roman" w:cs="Arial"/>
          <w:color w:val="000000" w:themeColor="text1"/>
        </w:rPr>
        <w:t xml:space="preserve">Make check payment to: </w:t>
      </w:r>
      <w:r w:rsidRPr="00074677">
        <w:rPr>
          <w:rFonts w:eastAsia="Times New Roman" w:cs="Arial"/>
          <w:b/>
          <w:bCs/>
          <w:color w:val="000000" w:themeColor="text1"/>
        </w:rPr>
        <w:t>Virginia ACP</w:t>
      </w:r>
      <w:r w:rsidRPr="00074677">
        <w:rPr>
          <w:rFonts w:eastAsia="Times New Roman" w:cs="Arial"/>
          <w:color w:val="000000" w:themeColor="text1"/>
        </w:rPr>
        <w:t xml:space="preserve"> &amp; send check with this form by Monday, March 21 2022 to: </w:t>
      </w:r>
    </w:p>
    <w:p w14:paraId="1E2E0922" w14:textId="77777777" w:rsidR="004F459D" w:rsidRPr="00074677" w:rsidRDefault="004F459D" w:rsidP="004F459D">
      <w:pPr>
        <w:rPr>
          <w:rFonts w:eastAsia="Times New Roman" w:cs="Arial"/>
          <w:color w:val="000000" w:themeColor="text1"/>
        </w:rPr>
      </w:pPr>
      <w:r w:rsidRPr="00074677">
        <w:rPr>
          <w:rFonts w:eastAsia="Times New Roman" w:cs="Times New Roman"/>
          <w:color w:val="000000" w:themeColor="text1"/>
        </w:rPr>
        <w:br/>
      </w:r>
      <w:r w:rsidRPr="00074677">
        <w:rPr>
          <w:rFonts w:eastAsia="Times New Roman" w:cs="Arial"/>
          <w:color w:val="000000" w:themeColor="text1"/>
        </w:rPr>
        <w:t xml:space="preserve">Advanced Dentistry of Richmond VA ACP Treasurer—Dr. </w:t>
      </w:r>
      <w:proofErr w:type="spellStart"/>
      <w:r w:rsidRPr="00074677">
        <w:rPr>
          <w:rFonts w:eastAsia="Times New Roman" w:cs="Arial"/>
          <w:color w:val="000000" w:themeColor="text1"/>
        </w:rPr>
        <w:t>Klostermyer</w:t>
      </w:r>
      <w:proofErr w:type="spellEnd"/>
      <w:r w:rsidRPr="00074677">
        <w:rPr>
          <w:rFonts w:eastAsia="Times New Roman" w:cs="Arial"/>
          <w:color w:val="000000" w:themeColor="text1"/>
        </w:rPr>
        <w:t xml:space="preserve"> </w:t>
      </w:r>
      <w:r w:rsidRPr="00074677">
        <w:rPr>
          <w:rFonts w:eastAsia="Times New Roman" w:cs="Times New Roman"/>
          <w:color w:val="000000" w:themeColor="text1"/>
        </w:rPr>
        <w:br/>
      </w:r>
      <w:r w:rsidRPr="00074677">
        <w:rPr>
          <w:rFonts w:eastAsia="Times New Roman" w:cs="Arial"/>
          <w:color w:val="000000" w:themeColor="text1"/>
        </w:rPr>
        <w:t xml:space="preserve">7204 Glen Forest Dr, Suite 203 Richmond, VA 23226 </w:t>
      </w:r>
    </w:p>
    <w:p w14:paraId="67212727" w14:textId="77777777" w:rsidR="004F459D" w:rsidRPr="00074677" w:rsidRDefault="004F459D" w:rsidP="004F459D">
      <w:pPr>
        <w:rPr>
          <w:rFonts w:eastAsia="Times New Roman" w:cs="Arial"/>
          <w:color w:val="000000" w:themeColor="text1"/>
        </w:rPr>
      </w:pPr>
    </w:p>
    <w:p w14:paraId="7DE80025" w14:textId="77777777" w:rsidR="004F459D" w:rsidRPr="00074677" w:rsidRDefault="004F459D" w:rsidP="004F459D">
      <w:pPr>
        <w:rPr>
          <w:rFonts w:eastAsia="Times New Roman" w:cs="Arial"/>
          <w:color w:val="000000" w:themeColor="text1"/>
        </w:rPr>
      </w:pPr>
    </w:p>
    <w:p w14:paraId="485A8ABF" w14:textId="77777777" w:rsidR="004F459D" w:rsidRPr="00074677" w:rsidRDefault="004F459D" w:rsidP="004F459D">
      <w:pPr>
        <w:rPr>
          <w:rFonts w:eastAsia="Times New Roman" w:cs="Arial"/>
          <w:color w:val="000000" w:themeColor="text1"/>
        </w:rPr>
      </w:pPr>
      <w:r w:rsidRPr="00074677">
        <w:rPr>
          <w:rFonts w:eastAsia="Times New Roman" w:cs="Arial"/>
          <w:color w:val="000000" w:themeColor="text1"/>
        </w:rPr>
        <w:t xml:space="preserve">**If no payment is necessary, this form can be emailed to </w:t>
      </w:r>
      <w:hyperlink r:id="rId7" w:history="1">
        <w:r w:rsidRPr="00074677">
          <w:rPr>
            <w:rStyle w:val="Hyperlink"/>
            <w:rFonts w:eastAsia="Times New Roman" w:cs="Arial"/>
            <w:color w:val="000000" w:themeColor="text1"/>
          </w:rPr>
          <w:t>klostermyerdds@yahoo.com</w:t>
        </w:r>
      </w:hyperlink>
      <w:r w:rsidRPr="00074677">
        <w:rPr>
          <w:rFonts w:eastAsia="Times New Roman" w:cs="Arial"/>
          <w:color w:val="000000" w:themeColor="text1"/>
        </w:rPr>
        <w:t xml:space="preserve"> with email subject being ACP CE March 24</w:t>
      </w:r>
    </w:p>
    <w:p w14:paraId="54898C3D" w14:textId="77777777" w:rsidR="004F459D" w:rsidRPr="007463E3" w:rsidRDefault="004F459D" w:rsidP="004F459D">
      <w:pPr>
        <w:rPr>
          <w:rFonts w:eastAsia="Times New Roman" w:cs="Times New Roman"/>
        </w:rPr>
      </w:pPr>
      <w:r w:rsidRPr="007463E3">
        <w:rPr>
          <w:rFonts w:eastAsia="Times New Roman" w:cs="Times New Roman"/>
        </w:rPr>
        <w:br/>
      </w:r>
    </w:p>
    <w:p w14:paraId="3BD5EB9C" w14:textId="77777777" w:rsidR="004F459D" w:rsidRDefault="004F459D" w:rsidP="004F459D"/>
    <w:p w14:paraId="18BC8548" w14:textId="77777777" w:rsidR="002739E2" w:rsidRDefault="002739E2"/>
    <w:sectPr w:rsidR="002739E2" w:rsidSect="002739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9F8"/>
    <w:multiLevelType w:val="hybridMultilevel"/>
    <w:tmpl w:val="30A81444"/>
    <w:lvl w:ilvl="0" w:tplc="B4D017BE">
      <w:start w:val="1"/>
      <w:numFmt w:val="bullet"/>
      <w:lvlText w:val="o"/>
      <w:lvlJc w:val="left"/>
      <w:pPr>
        <w:ind w:left="1440" w:hanging="360"/>
      </w:pPr>
      <w:rPr>
        <w:rFonts w:ascii="Wingdings" w:hAnsi="Wingdings" w:hint="default"/>
      </w:rPr>
    </w:lvl>
    <w:lvl w:ilvl="1" w:tplc="B4D017B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EF100B"/>
    <w:multiLevelType w:val="hybridMultilevel"/>
    <w:tmpl w:val="40BE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D35FB"/>
    <w:multiLevelType w:val="hybridMultilevel"/>
    <w:tmpl w:val="27CC2A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9D"/>
    <w:rsid w:val="00074677"/>
    <w:rsid w:val="002739E2"/>
    <w:rsid w:val="004F459D"/>
    <w:rsid w:val="00540872"/>
    <w:rsid w:val="00742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24CC56"/>
  <w14:defaultImageDpi w14:val="300"/>
  <w15:docId w15:val="{1CEBCDEB-4EF6-1A4E-8387-205128C9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59D"/>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59D"/>
    <w:pPr>
      <w:ind w:left="720"/>
      <w:contextualSpacing/>
    </w:pPr>
  </w:style>
  <w:style w:type="character" w:styleId="Hyperlink">
    <w:name w:val="Hyperlink"/>
    <w:basedOn w:val="DefaultParagraphFont"/>
    <w:uiPriority w:val="99"/>
    <w:unhideWhenUsed/>
    <w:rsid w:val="004F459D"/>
    <w:rPr>
      <w:color w:val="0000FF" w:themeColor="hyperlink"/>
      <w:u w:val="single"/>
    </w:rPr>
  </w:style>
  <w:style w:type="paragraph" w:styleId="BalloonText">
    <w:name w:val="Balloon Text"/>
    <w:basedOn w:val="Normal"/>
    <w:link w:val="BalloonTextChar"/>
    <w:uiPriority w:val="99"/>
    <w:semiHidden/>
    <w:unhideWhenUsed/>
    <w:rsid w:val="004F45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59D"/>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ostermyerdd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2898</Characters>
  <Application>Microsoft Office Word</Application>
  <DocSecurity>0</DocSecurity>
  <Lines>24</Lines>
  <Paragraphs>6</Paragraphs>
  <ScaleCrop>false</ScaleCrop>
  <Company>Nati</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Powell</dc:creator>
  <cp:keywords/>
  <dc:description/>
  <cp:lastModifiedBy>Justinn McDaniel</cp:lastModifiedBy>
  <cp:revision>2</cp:revision>
  <dcterms:created xsi:type="dcterms:W3CDTF">2022-02-24T19:16:00Z</dcterms:created>
  <dcterms:modified xsi:type="dcterms:W3CDTF">2022-02-24T19:16:00Z</dcterms:modified>
</cp:coreProperties>
</file>